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sz w:val="32"/>
          <w:szCs w:val="32"/>
        </w:rPr>
      </w:pPr>
      <w:r>
        <w:rPr>
          <w:sz w:val="32"/>
          <w:szCs w:val="32"/>
        </w:rPr>
        <w:t>Solicitation of Bid for Timber</w:t>
      </w:r>
    </w:p>
    <w:p>
      <w:pPr>
        <w:pStyle w:val="Normal"/>
        <w:jc w:val="right"/>
        <w:rPr>
          <w:rFonts w:ascii="Calibri" w:hAnsi="Calibri" w:eastAsia="Calibri" w:cs="" w:asciiTheme="minorHAnsi" w:cstheme="minorBidi" w:eastAsiaTheme="minorHAnsi" w:hAnsiTheme="minorHAnsi"/>
          <w:color w:val="auto"/>
          <w:kern w:val="0"/>
          <w:sz w:val="22"/>
          <w:szCs w:val="22"/>
          <w:lang w:val="en-US" w:eastAsia="en-US" w:bidi="ar-SA"/>
        </w:rPr>
      </w:pPr>
      <w:r>
        <w:rPr>
          <w:rFonts w:eastAsia="Calibri" w:cs="" w:cstheme="minorBidi" w:eastAsiaTheme="minorHAnsi"/>
          <w:color w:val="auto"/>
          <w:kern w:val="0"/>
          <w:sz w:val="22"/>
          <w:szCs w:val="22"/>
          <w:lang w:val="en-US" w:eastAsia="en-US" w:bidi="ar-SA"/>
        </w:rPr>
        <w:t>August 29, 2023</w:t>
      </w:r>
    </w:p>
    <w:p>
      <w:pPr>
        <w:pStyle w:val="Normal"/>
        <w:rPr>
          <w:sz w:val="24"/>
          <w:szCs w:val="24"/>
        </w:rPr>
      </w:pPr>
      <w:r>
        <w:rPr>
          <w:color w:val="000000"/>
          <w:sz w:val="24"/>
          <w:szCs w:val="24"/>
        </w:rPr>
        <w:t>You are invited to bid on timber located as follows: 10</w:t>
      </w:r>
      <w:r>
        <w:rPr>
          <w:color w:val="000000"/>
          <w:sz w:val="24"/>
          <w:szCs w:val="24"/>
        </w:rPr>
        <w:t>1</w:t>
      </w:r>
      <w:r>
        <w:rPr>
          <w:color w:val="000000"/>
          <w:sz w:val="24"/>
          <w:szCs w:val="24"/>
        </w:rPr>
        <w:t xml:space="preserve"> acres located in Section 2</w:t>
      </w:r>
      <w:r>
        <w:rPr>
          <w:color w:val="000000"/>
          <w:sz w:val="24"/>
          <w:szCs w:val="24"/>
        </w:rPr>
        <w:t>5,</w:t>
      </w:r>
      <w:r>
        <w:rPr>
          <w:color w:val="000000"/>
          <w:sz w:val="24"/>
          <w:szCs w:val="24"/>
        </w:rPr>
        <w:t xml:space="preserve"> Township 31 North, Range 5 West, Shannon County, Missouri.</w:t>
      </w:r>
      <w:r>
        <w:rPr>
          <w:sz w:val="24"/>
          <w:szCs w:val="24"/>
        </w:rPr>
        <w:t xml:space="preserve">  The land and timber is owned by </w:t>
      </w:r>
      <w:r>
        <w:rPr>
          <w:sz w:val="24"/>
          <w:szCs w:val="24"/>
          <w:highlight w:val="yellow"/>
        </w:rPr>
        <w:t>Shannondale Community Center</w:t>
      </w:r>
      <w:r>
        <w:rPr>
          <w:sz w:val="24"/>
          <w:szCs w:val="24"/>
        </w:rPr>
        <w:t>.  To view the sale contact forester Jason Deschu at (573) 291-7906.</w:t>
      </w:r>
    </w:p>
    <w:p>
      <w:pPr>
        <w:pStyle w:val="Normal"/>
        <w:rPr>
          <w:sz w:val="24"/>
          <w:szCs w:val="24"/>
        </w:rPr>
      </w:pPr>
      <w:r>
        <w:rPr>
          <w:sz w:val="24"/>
          <w:szCs w:val="24"/>
        </w:rPr>
        <w:t>Description:  All trees to be cut have been measured and marked with a spot of orange paint except cull trees which were marked with an “X” and not measured and which may be cut at purchaser’s option.</w:t>
      </w:r>
    </w:p>
    <w:tbl>
      <w:tblPr>
        <w:tblpPr w:vertAnchor="page" w:horzAnchor="margin" w:tblpXSpec="center" w:leftFromText="180" w:rightFromText="180" w:tblpY="6546"/>
        <w:tblW w:w="6840" w:type="dxa"/>
        <w:jc w:val="center"/>
        <w:tblInd w:w="0" w:type="dxa"/>
        <w:tblCellMar>
          <w:top w:w="0" w:type="dxa"/>
          <w:left w:w="108" w:type="dxa"/>
          <w:bottom w:w="0" w:type="dxa"/>
          <w:right w:w="108" w:type="dxa"/>
        </w:tblCellMar>
        <w:tblLook w:val="01e0"/>
      </w:tblPr>
      <w:tblGrid>
        <w:gridCol w:w="3240"/>
        <w:gridCol w:w="3599"/>
      </w:tblGrid>
      <w:tr>
        <w:trPr/>
        <w:tc>
          <w:tcPr>
            <w:tcW w:w="3240"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b w:val="false"/>
                <w:b w:val="false"/>
                <w:bCs w:val="false"/>
                <w:i w:val="false"/>
                <w:i w:val="false"/>
                <w:iCs w:val="false"/>
                <w:sz w:val="24"/>
                <w:szCs w:val="24"/>
              </w:rPr>
            </w:pPr>
            <w:r>
              <w:rPr>
                <w:bCs w:val="false"/>
                <w:iCs w:val="false"/>
                <w:szCs w:val="24"/>
              </w:rPr>
              <w:t>Species</w:t>
            </w:r>
          </w:p>
        </w:tc>
        <w:tc>
          <w:tcPr>
            <w:tcW w:w="3599" w:type="dxa"/>
            <w:tcBorders>
              <w:top w:val="single" w:sz="4" w:space="0" w:color="000000"/>
              <w:left w:val="single" w:sz="4" w:space="0" w:color="000000"/>
              <w:bottom w:val="single" w:sz="4" w:space="0" w:color="000000"/>
              <w:right w:val="single" w:sz="4" w:space="0" w:color="000000"/>
            </w:tcBorders>
          </w:tcPr>
          <w:p>
            <w:pPr>
              <w:pStyle w:val="Normal"/>
              <w:spacing w:before="0" w:after="200"/>
              <w:jc w:val="center"/>
              <w:rPr>
                <w:b w:val="false"/>
                <w:b w:val="false"/>
                <w:bCs w:val="false"/>
                <w:i w:val="false"/>
                <w:i w:val="false"/>
                <w:iCs w:val="false"/>
                <w:sz w:val="24"/>
                <w:szCs w:val="24"/>
              </w:rPr>
            </w:pPr>
            <w:r>
              <w:rPr>
                <w:bCs w:val="false"/>
                <w:iCs w:val="false"/>
                <w:szCs w:val="24"/>
              </w:rPr>
              <w:t>International ¼ Scale</w:t>
            </w:r>
          </w:p>
        </w:tc>
      </w:tr>
      <w:tr>
        <w:trPr/>
        <w:tc>
          <w:tcPr>
            <w:tcW w:w="3240" w:type="dxa"/>
            <w:tcBorders>
              <w:top w:val="single" w:sz="4" w:space="0" w:color="000000"/>
              <w:left w:val="single" w:sz="4" w:space="0" w:color="000000"/>
              <w:bottom w:val="single" w:sz="4" w:space="0" w:color="000000"/>
              <w:right w:val="single" w:sz="4" w:space="0" w:color="000000"/>
            </w:tcBorders>
          </w:tcPr>
          <w:p>
            <w:pPr>
              <w:pStyle w:val="Normal"/>
              <w:widowControl/>
              <w:bidi w:val="0"/>
              <w:spacing w:lineRule="auto" w:line="276" w:before="0" w:after="200"/>
              <w:jc w:val="left"/>
              <w:rPr>
                <w:b w:val="false"/>
                <w:b w:val="false"/>
                <w:bCs w:val="false"/>
                <w:i w:val="false"/>
                <w:i w:val="false"/>
                <w:iCs w:val="false"/>
                <w:sz w:val="24"/>
                <w:szCs w:val="24"/>
              </w:rPr>
            </w:pPr>
            <w:r>
              <w:rPr>
                <w:bCs w:val="false"/>
                <w:iCs w:val="false"/>
                <w:szCs w:val="24"/>
              </w:rPr>
              <w:t>Red Oaks</w:t>
            </w:r>
          </w:p>
        </w:tc>
        <w:tc>
          <w:tcPr>
            <w:tcW w:w="3599" w:type="dxa"/>
            <w:tcBorders>
              <w:top w:val="single" w:sz="4" w:space="0" w:color="000000"/>
              <w:left w:val="single" w:sz="4" w:space="0" w:color="000000"/>
              <w:bottom w:val="single" w:sz="4" w:space="0" w:color="000000"/>
              <w:right w:val="single" w:sz="4" w:space="0" w:color="000000"/>
            </w:tcBorders>
          </w:tcPr>
          <w:p>
            <w:pPr>
              <w:pStyle w:val="Normal"/>
              <w:spacing w:before="0" w:after="200"/>
              <w:jc w:val="right"/>
              <w:rPr>
                <w:sz w:val="24"/>
                <w:szCs w:val="24"/>
              </w:rPr>
            </w:pPr>
            <w:r>
              <w:rPr>
                <w:bCs w:val="false"/>
                <w:iCs w:val="false"/>
                <w:color w:val="000000"/>
                <w:sz w:val="28"/>
                <w:szCs w:val="28"/>
              </w:rPr>
              <w:t>255,785</w:t>
            </w:r>
          </w:p>
        </w:tc>
      </w:tr>
      <w:tr>
        <w:trPr/>
        <w:tc>
          <w:tcPr>
            <w:tcW w:w="3240" w:type="dxa"/>
            <w:tcBorders>
              <w:top w:val="single" w:sz="4" w:space="0" w:color="000000"/>
              <w:left w:val="single" w:sz="4" w:space="0" w:color="000000"/>
              <w:bottom w:val="single" w:sz="4" w:space="0" w:color="000000"/>
              <w:right w:val="single" w:sz="4" w:space="0" w:color="000000"/>
            </w:tcBorders>
          </w:tcPr>
          <w:p>
            <w:pPr>
              <w:pStyle w:val="Normal"/>
              <w:widowControl/>
              <w:bidi w:val="0"/>
              <w:spacing w:lineRule="auto" w:line="276" w:before="0" w:after="200"/>
              <w:jc w:val="left"/>
              <w:rPr>
                <w:b w:val="false"/>
                <w:b w:val="false"/>
                <w:bCs w:val="false"/>
                <w:i w:val="false"/>
                <w:i w:val="false"/>
                <w:iCs w:val="false"/>
                <w:sz w:val="24"/>
                <w:szCs w:val="24"/>
              </w:rPr>
            </w:pPr>
            <w:r>
              <w:rPr>
                <w:bCs w:val="false"/>
                <w:iCs w:val="false"/>
                <w:szCs w:val="24"/>
              </w:rPr>
              <w:t>White Oaks</w:t>
            </w:r>
          </w:p>
        </w:tc>
        <w:tc>
          <w:tcPr>
            <w:tcW w:w="3599" w:type="dxa"/>
            <w:tcBorders>
              <w:top w:val="single" w:sz="4" w:space="0" w:color="000000"/>
              <w:left w:val="single" w:sz="4" w:space="0" w:color="000000"/>
              <w:bottom w:val="single" w:sz="4" w:space="0" w:color="000000"/>
              <w:right w:val="single" w:sz="4" w:space="0" w:color="000000"/>
            </w:tcBorders>
          </w:tcPr>
          <w:p>
            <w:pPr>
              <w:pStyle w:val="Normal"/>
              <w:spacing w:before="0" w:after="200"/>
              <w:jc w:val="right"/>
              <w:rPr>
                <w:sz w:val="24"/>
                <w:szCs w:val="24"/>
              </w:rPr>
            </w:pPr>
            <w:r>
              <w:rPr>
                <w:bCs w:val="false"/>
                <w:iCs w:val="false"/>
                <w:color w:val="000000"/>
                <w:sz w:val="28"/>
                <w:szCs w:val="28"/>
              </w:rPr>
              <w:t>76,157</w:t>
            </w:r>
          </w:p>
        </w:tc>
      </w:tr>
      <w:tr>
        <w:trPr/>
        <w:tc>
          <w:tcPr>
            <w:tcW w:w="3240" w:type="dxa"/>
            <w:tcBorders>
              <w:top w:val="single" w:sz="4" w:space="0" w:color="000000"/>
              <w:left w:val="single" w:sz="4" w:space="0" w:color="000000"/>
              <w:bottom w:val="single" w:sz="4" w:space="0" w:color="000000"/>
              <w:right w:val="single" w:sz="4" w:space="0" w:color="000000"/>
            </w:tcBorders>
          </w:tcPr>
          <w:p>
            <w:pPr>
              <w:pStyle w:val="Normal"/>
              <w:widowControl/>
              <w:bidi w:val="0"/>
              <w:spacing w:lineRule="auto" w:line="276" w:before="0" w:after="200"/>
              <w:jc w:val="left"/>
              <w:rPr>
                <w:b w:val="false"/>
                <w:b w:val="false"/>
                <w:bCs w:val="false"/>
                <w:i w:val="false"/>
                <w:i w:val="false"/>
                <w:iCs w:val="false"/>
                <w:sz w:val="24"/>
                <w:szCs w:val="24"/>
              </w:rPr>
            </w:pPr>
            <w:r>
              <w:rPr>
                <w:bCs w:val="false"/>
                <w:iCs w:val="false"/>
                <w:szCs w:val="24"/>
              </w:rPr>
              <w:t>Hickory</w:t>
            </w:r>
          </w:p>
        </w:tc>
        <w:tc>
          <w:tcPr>
            <w:tcW w:w="3599" w:type="dxa"/>
            <w:tcBorders>
              <w:top w:val="single" w:sz="4" w:space="0" w:color="000000"/>
              <w:left w:val="single" w:sz="4" w:space="0" w:color="000000"/>
              <w:bottom w:val="single" w:sz="4" w:space="0" w:color="000000"/>
              <w:right w:val="single" w:sz="4" w:space="0" w:color="000000"/>
            </w:tcBorders>
          </w:tcPr>
          <w:p>
            <w:pPr>
              <w:pStyle w:val="Normal"/>
              <w:spacing w:before="0" w:after="200"/>
              <w:jc w:val="right"/>
              <w:rPr>
                <w:sz w:val="24"/>
                <w:szCs w:val="24"/>
              </w:rPr>
            </w:pPr>
            <w:r>
              <w:rPr>
                <w:bCs w:val="false"/>
                <w:iCs w:val="false"/>
                <w:color w:val="000000"/>
                <w:sz w:val="28"/>
                <w:szCs w:val="28"/>
              </w:rPr>
              <w:t>8,793</w:t>
            </w:r>
          </w:p>
        </w:tc>
      </w:tr>
      <w:tr>
        <w:trPr/>
        <w:tc>
          <w:tcPr>
            <w:tcW w:w="3240" w:type="dxa"/>
            <w:tcBorders>
              <w:left w:val="single" w:sz="4" w:space="0" w:color="000000"/>
              <w:bottom w:val="single" w:sz="4" w:space="0" w:color="000000"/>
              <w:right w:val="single" w:sz="4" w:space="0" w:color="000000"/>
            </w:tcBorders>
          </w:tcPr>
          <w:p>
            <w:pPr>
              <w:pStyle w:val="Normal"/>
              <w:widowControl/>
              <w:bidi w:val="0"/>
              <w:spacing w:lineRule="auto" w:line="276" w:before="0" w:after="200"/>
              <w:jc w:val="left"/>
              <w:rPr>
                <w:b w:val="false"/>
                <w:b w:val="false"/>
                <w:bCs w:val="false"/>
                <w:i w:val="false"/>
                <w:i w:val="false"/>
                <w:iCs w:val="false"/>
                <w:sz w:val="24"/>
                <w:szCs w:val="24"/>
              </w:rPr>
            </w:pPr>
            <w:r>
              <w:rPr>
                <w:bCs w:val="false"/>
                <w:iCs w:val="false"/>
                <w:szCs w:val="24"/>
              </w:rPr>
              <w:t>Total</w:t>
            </w:r>
          </w:p>
        </w:tc>
        <w:tc>
          <w:tcPr>
            <w:tcW w:w="3599" w:type="dxa"/>
            <w:tcBorders>
              <w:left w:val="single" w:sz="4" w:space="0" w:color="000000"/>
              <w:bottom w:val="single" w:sz="4" w:space="0" w:color="000000"/>
              <w:right w:val="single" w:sz="4" w:space="0" w:color="000000"/>
            </w:tcBorders>
          </w:tcPr>
          <w:p>
            <w:pPr>
              <w:pStyle w:val="Normal"/>
              <w:spacing w:before="0" w:after="200"/>
              <w:jc w:val="right"/>
              <w:rPr>
                <w:b/>
                <w:b/>
                <w:sz w:val="24"/>
                <w:szCs w:val="24"/>
              </w:rPr>
            </w:pPr>
            <w:r>
              <w:rPr>
                <w:sz w:val="30"/>
                <w:szCs w:val="30"/>
              </w:rPr>
              <w:t>340,735</w:t>
            </w:r>
          </w:p>
        </w:tc>
      </w:tr>
    </w:tbl>
    <w:p>
      <w:pPr>
        <w:pStyle w:val="Normal"/>
        <w:rPr>
          <w:sz w:val="24"/>
          <w:szCs w:val="24"/>
        </w:rPr>
      </w:pPr>
      <w:r/>
      <w:r>
        <w:rPr>
          <w:sz w:val="24"/>
          <w:szCs w:val="24"/>
        </w:rPr>
        <w:t>The estimated gross, merchantable volume is as follows</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 xml:space="preserve">Buyer will have until </w:t>
      </w:r>
      <w:r>
        <w:rPr>
          <w:highlight w:val="yellow"/>
        </w:rPr>
        <w:t>December 31, 2024</w:t>
      </w:r>
      <w:r>
        <w:rPr/>
        <w:t xml:space="preserve"> to harvest timber.  </w:t>
      </w:r>
    </w:p>
    <w:p>
      <w:pPr>
        <w:pStyle w:val="Normal"/>
        <w:rPr>
          <w:color w:val="FF0000"/>
        </w:rPr>
      </w:pPr>
      <w:r>
        <w:rPr>
          <w:color w:val="FF0000"/>
        </w:rPr>
        <w:t>**</w:t>
      </w:r>
      <w:r>
        <w:rPr/>
        <w:t>To be in compliance with the Tree Farm program, and due to our location near a known Indiana Bat cave, no harvesting may take place between March 15</w:t>
      </w:r>
      <w:r>
        <w:rPr>
          <w:vertAlign w:val="superscript"/>
        </w:rPr>
        <w:t>th</w:t>
      </w:r>
      <w:r>
        <w:rPr/>
        <w:t xml:space="preserve"> and October 31</w:t>
      </w:r>
      <w:r>
        <w:rPr>
          <w:vertAlign w:val="superscript"/>
        </w:rPr>
        <w:t>st</w:t>
      </w:r>
      <w:r>
        <w:rPr/>
        <w:t xml:space="preserve">. </w:t>
      </w:r>
      <w:r>
        <w:rPr>
          <w:color w:val="FF0000"/>
        </w:rPr>
        <w:t>**</w:t>
      </w:r>
    </w:p>
    <w:p>
      <w:pPr>
        <w:pStyle w:val="Normal"/>
        <w:rPr>
          <w:color w:val="FF0000"/>
        </w:rPr>
      </w:pPr>
      <w:r>
        <w:rPr>
          <w:color w:val="FF0000"/>
        </w:rPr>
      </w:r>
    </w:p>
    <w:p>
      <w:pPr>
        <w:pStyle w:val="Normal"/>
        <w:rPr/>
      </w:pPr>
      <w:r>
        <w:rPr>
          <w:color w:val="FF0000"/>
        </w:rPr>
        <w:t xml:space="preserve">There will be a showing of the timber on </w:t>
      </w:r>
      <w:r>
        <w:rPr>
          <w:color w:val="FF0000"/>
        </w:rPr>
        <w:t>Friday</w:t>
      </w:r>
      <w:r>
        <w:rPr>
          <w:rFonts w:eastAsia="Calibri" w:cs=""/>
          <w:color w:val="FF0000"/>
          <w:kern w:val="0"/>
          <w:sz w:val="22"/>
          <w:szCs w:val="22"/>
          <w:lang w:val="en-US" w:eastAsia="en-US" w:bidi="ar-SA"/>
        </w:rPr>
        <w:t xml:space="preserve"> </w:t>
      </w:r>
      <w:r>
        <w:rPr>
          <w:color w:val="FF0000"/>
        </w:rPr>
        <w:t xml:space="preserve">September </w:t>
      </w:r>
      <w:r>
        <w:rPr>
          <w:color w:val="FF0000"/>
        </w:rPr>
        <w:t>8</w:t>
      </w:r>
      <w:r>
        <w:rPr>
          <w:color w:val="FF0000"/>
        </w:rPr>
        <w:t xml:space="preserve"> at 3:00.  Meet at the </w:t>
      </w:r>
      <w:r>
        <w:rPr>
          <w:color w:val="FF0000"/>
        </w:rPr>
        <w:t>Timber Lodge</w:t>
      </w:r>
    </w:p>
    <w:p>
      <w:pPr>
        <w:pStyle w:val="Normal"/>
        <w:rPr/>
      </w:pPr>
      <w:r>
        <w:rPr>
          <w:color w:val="FF0000"/>
        </w:rPr>
        <w:t xml:space="preserve"> </w:t>
      </w:r>
      <w:r>
        <w:rPr>
          <w:color w:val="FF0000"/>
        </w:rPr>
        <w:t>on Hwy 19.</w:t>
      </w:r>
      <w:r>
        <w:br w:type="page"/>
      </w:r>
    </w:p>
    <w:p>
      <w:pPr>
        <w:pStyle w:val="Normal"/>
        <w:rPr>
          <w:sz w:val="24"/>
          <w:szCs w:val="24"/>
        </w:rPr>
      </w:pPr>
      <w:r>
        <w:rPr>
          <w:sz w:val="24"/>
          <w:szCs w:val="24"/>
        </w:rPr>
        <w:t>This is a “lump sum” sale for the estimated volume only.  Although reasonable care has been exercised in estimating volume, no guarantee is made or implied that this volume is recoverable.  The sale is for the designated trees and no adjustment will be made for either overrun or underrun.  The bidder should determine the number of logs present and bid accordingly.  Selection of a winning bid may not be based solely on highest bidder.</w:t>
      </w:r>
    </w:p>
    <w:p>
      <w:pPr>
        <w:pStyle w:val="Normal"/>
        <w:rPr>
          <w:sz w:val="24"/>
          <w:szCs w:val="24"/>
        </w:rPr>
      </w:pPr>
      <w:r>
        <w:rPr>
          <w:sz w:val="24"/>
          <w:szCs w:val="24"/>
        </w:rPr>
      </w:r>
    </w:p>
    <w:p>
      <w:pPr>
        <w:pStyle w:val="Normal"/>
        <w:rPr>
          <w:sz w:val="24"/>
          <w:szCs w:val="24"/>
        </w:rPr>
      </w:pPr>
      <w:r>
        <w:rPr>
          <w:sz w:val="24"/>
          <w:szCs w:val="24"/>
        </w:rPr>
        <w:t xml:space="preserve">Bid Intructions:   Mail completed bid to: </w:t>
      </w:r>
    </w:p>
    <w:p>
      <w:pPr>
        <w:pStyle w:val="Normal"/>
        <w:jc w:val="center"/>
        <w:rPr>
          <w:sz w:val="24"/>
          <w:szCs w:val="24"/>
        </w:rPr>
      </w:pPr>
      <w:r>
        <w:rPr>
          <w:sz w:val="24"/>
          <w:szCs w:val="24"/>
        </w:rPr>
      </w:r>
    </w:p>
    <w:p>
      <w:pPr>
        <w:pStyle w:val="Normal"/>
        <w:jc w:val="center"/>
        <w:rPr>
          <w:sz w:val="24"/>
          <w:szCs w:val="24"/>
        </w:rPr>
      </w:pPr>
      <w:r>
        <w:rPr>
          <w:sz w:val="24"/>
          <w:szCs w:val="24"/>
        </w:rPr>
        <w:t>Shannondale Community Center</w:t>
      </w:r>
    </w:p>
    <w:p>
      <w:pPr>
        <w:pStyle w:val="Normal"/>
        <w:jc w:val="center"/>
        <w:rPr>
          <w:sz w:val="24"/>
          <w:szCs w:val="24"/>
        </w:rPr>
      </w:pPr>
      <w:r>
        <w:rPr>
          <w:sz w:val="24"/>
          <w:szCs w:val="24"/>
        </w:rPr>
        <w:t>41277 State Hwy 19</w:t>
      </w:r>
    </w:p>
    <w:p>
      <w:pPr>
        <w:pStyle w:val="Normal"/>
        <w:jc w:val="center"/>
        <w:rPr>
          <w:sz w:val="24"/>
          <w:szCs w:val="24"/>
        </w:rPr>
      </w:pPr>
      <w:r>
        <w:rPr>
          <w:sz w:val="24"/>
          <w:szCs w:val="24"/>
        </w:rPr>
        <w:t>Salem, Mo 65560</w:t>
      </w:r>
    </w:p>
    <w:p>
      <w:pPr>
        <w:pStyle w:val="Normal"/>
        <w:rPr>
          <w:sz w:val="24"/>
          <w:szCs w:val="24"/>
        </w:rPr>
      </w:pPr>
      <w:r>
        <w:rPr>
          <w:sz w:val="24"/>
          <w:szCs w:val="24"/>
        </w:rPr>
      </w:r>
    </w:p>
    <w:p>
      <w:pPr>
        <w:pStyle w:val="Normal"/>
        <w:rPr>
          <w:sz w:val="24"/>
          <w:szCs w:val="24"/>
        </w:rPr>
      </w:pPr>
      <w:r>
        <w:rPr>
          <w:sz w:val="24"/>
          <w:szCs w:val="24"/>
        </w:rPr>
        <w:t xml:space="preserve">Bids should be mailed to be received on or </w:t>
      </w:r>
      <w:r>
        <w:rPr>
          <w:color w:val="FF0000"/>
          <w:sz w:val="24"/>
          <w:szCs w:val="24"/>
        </w:rPr>
        <w:t xml:space="preserve">before 11 a.m. </w:t>
      </w:r>
      <w:r>
        <w:rPr>
          <w:rFonts w:eastAsia="Calibri" w:cs=""/>
          <w:color w:val="FF0000"/>
          <w:kern w:val="0"/>
          <w:sz w:val="24"/>
          <w:szCs w:val="24"/>
          <w:lang w:val="en-US" w:eastAsia="en-US" w:bidi="ar-SA"/>
        </w:rPr>
        <w:t xml:space="preserve">Monday </w:t>
      </w:r>
      <w:r>
        <w:rPr>
          <w:color w:val="FF0000"/>
          <w:sz w:val="24"/>
          <w:szCs w:val="24"/>
        </w:rPr>
        <w:t>October 2, 2023</w:t>
      </w:r>
      <w:r>
        <w:rPr>
          <w:sz w:val="24"/>
          <w:szCs w:val="24"/>
        </w:rPr>
        <w:t xml:space="preserve">.  Bid opening will be at </w:t>
      </w:r>
      <w:r>
        <w:rPr>
          <w:color w:val="FF0000"/>
          <w:sz w:val="24"/>
          <w:szCs w:val="24"/>
        </w:rPr>
        <w:t xml:space="preserve">4:00 p.m.  </w:t>
      </w:r>
      <w:r>
        <w:rPr>
          <w:rFonts w:eastAsia="Calibri" w:cs=""/>
          <w:color w:val="FF0000"/>
          <w:kern w:val="0"/>
          <w:sz w:val="24"/>
          <w:szCs w:val="24"/>
          <w:lang w:val="en-US" w:eastAsia="en-US" w:bidi="ar-SA"/>
        </w:rPr>
        <w:t>Monday</w:t>
      </w:r>
      <w:r>
        <w:rPr>
          <w:color w:val="FF0000"/>
          <w:sz w:val="24"/>
          <w:szCs w:val="24"/>
        </w:rPr>
        <w:t xml:space="preserve"> October 2, 2023 </w:t>
      </w:r>
      <w:r>
        <w:rPr>
          <w:sz w:val="24"/>
          <w:szCs w:val="24"/>
        </w:rPr>
        <w:t xml:space="preserve">at Shannondale Community Center.  Hand carried sealed bids may be submitted before </w:t>
      </w:r>
      <w:r>
        <w:rPr>
          <w:color w:val="FF0000"/>
          <w:sz w:val="24"/>
          <w:szCs w:val="24"/>
        </w:rPr>
        <w:t>4:00 p.m. on</w:t>
      </w:r>
      <w:r>
        <w:rPr>
          <w:sz w:val="24"/>
          <w:szCs w:val="24"/>
        </w:rPr>
        <w:t xml:space="preserve"> </w:t>
      </w:r>
      <w:r>
        <w:rPr>
          <w:color w:val="FF0000"/>
          <w:sz w:val="24"/>
          <w:szCs w:val="24"/>
        </w:rPr>
        <w:t>October 2</w:t>
      </w:r>
      <w:r>
        <w:rPr>
          <w:color w:val="FF0000"/>
          <w:sz w:val="24"/>
          <w:szCs w:val="24"/>
          <w:vertAlign w:val="superscript"/>
        </w:rPr>
        <w:t>nd</w:t>
      </w:r>
      <w:r>
        <w:rPr>
          <w:color w:val="FF0000"/>
          <w:sz w:val="24"/>
          <w:szCs w:val="24"/>
        </w:rPr>
        <w:t>.</w:t>
      </w:r>
    </w:p>
    <w:p>
      <w:pPr>
        <w:pStyle w:val="Normal"/>
        <w:rPr>
          <w:sz w:val="24"/>
          <w:szCs w:val="24"/>
        </w:rPr>
      </w:pPr>
      <w:r>
        <w:rPr>
          <w:sz w:val="24"/>
          <w:szCs w:val="24"/>
        </w:rPr>
      </w:r>
    </w:p>
    <w:p>
      <w:pPr>
        <w:pStyle w:val="Normal"/>
        <w:rPr>
          <w:sz w:val="24"/>
          <w:szCs w:val="24"/>
        </w:rPr>
      </w:pPr>
      <w:r>
        <w:rPr>
          <w:sz w:val="24"/>
          <w:szCs w:val="24"/>
        </w:rPr>
        <w:t>If your bid is accepted, contract must be signed and payment made in full within ten working days from date of notification of bid acceptance.  T</w:t>
      </w:r>
    </w:p>
    <w:p>
      <w:pPr>
        <w:pStyle w:val="Normal"/>
        <w:rPr>
          <w:sz w:val="24"/>
          <w:szCs w:val="24"/>
        </w:rPr>
      </w:pPr>
      <w:r>
        <w:rPr>
          <w:sz w:val="24"/>
          <w:szCs w:val="24"/>
        </w:rPr>
      </w:r>
    </w:p>
    <w:p>
      <w:pPr>
        <w:pStyle w:val="Normal"/>
        <w:rPr>
          <w:sz w:val="24"/>
          <w:szCs w:val="24"/>
        </w:rPr>
      </w:pPr>
      <w:r>
        <w:rPr>
          <w:sz w:val="24"/>
          <w:szCs w:val="24"/>
        </w:rPr>
      </w:r>
    </w:p>
    <w:p>
      <w:pPr>
        <w:pStyle w:val="Normal"/>
        <w:jc w:val="center"/>
        <w:rPr>
          <w:sz w:val="24"/>
          <w:szCs w:val="24"/>
        </w:rPr>
      </w:pPr>
      <w:r>
        <w:rPr>
          <w:sz w:val="24"/>
          <w:szCs w:val="24"/>
        </w:rPr>
        <w:t>The owner reserves the right to Reject Any and All Bids.</w:t>
      </w:r>
    </w:p>
    <w:p>
      <w:pPr>
        <w:pStyle w:val="Normal"/>
        <w:rPr/>
      </w:pPr>
      <w:r>
        <w:rPr/>
      </w:r>
    </w:p>
    <w:p>
      <w:pPr>
        <w:sectPr>
          <w:type w:val="nextPage"/>
          <w:pgSz w:w="12240" w:h="15840"/>
          <w:pgMar w:left="1440" w:right="1440" w:header="0" w:top="1440" w:footer="0" w:bottom="1440" w:gutter="0"/>
          <w:pgNumType w:fmt="decimal"/>
          <w:formProt w:val="false"/>
          <w:textDirection w:val="lrTb"/>
          <w:docGrid w:type="default" w:linePitch="360" w:charSpace="4096"/>
        </w:sectPr>
        <w:pStyle w:val="Normal"/>
        <w:tabs>
          <w:tab w:val="clear" w:pos="720"/>
          <w:tab w:val="left" w:pos="3310" w:leader="none"/>
        </w:tabs>
        <w:rPr/>
      </w:pPr>
      <w:r>
        <w:rPr/>
        <w:tab/>
      </w:r>
    </w:p>
    <w:p>
      <w:pPr>
        <w:pStyle w:val="Normal"/>
        <w:rPr/>
      </w:pPr>
      <w:r>
        <w:rPr/>
      </w:r>
    </w:p>
    <w:tbl>
      <w:tblPr>
        <w:tblW w:w="14399" w:type="dxa"/>
        <w:jc w:val="left"/>
        <w:tblInd w:w="-60" w:type="dxa"/>
        <w:tblCellMar>
          <w:top w:w="0" w:type="dxa"/>
          <w:left w:w="0" w:type="dxa"/>
          <w:bottom w:w="0" w:type="dxa"/>
          <w:right w:w="0" w:type="dxa"/>
        </w:tblCellMar>
      </w:tblPr>
      <w:tblGrid>
        <w:gridCol w:w="1507"/>
        <w:gridCol w:w="552"/>
        <w:gridCol w:w="684"/>
        <w:gridCol w:w="683"/>
        <w:gridCol w:w="684"/>
        <w:gridCol w:w="684"/>
        <w:gridCol w:w="684"/>
        <w:gridCol w:w="684"/>
        <w:gridCol w:w="684"/>
        <w:gridCol w:w="684"/>
        <w:gridCol w:w="686"/>
        <w:gridCol w:w="684"/>
        <w:gridCol w:w="683"/>
        <w:gridCol w:w="684"/>
        <w:gridCol w:w="550"/>
        <w:gridCol w:w="686"/>
        <w:gridCol w:w="550"/>
        <w:gridCol w:w="419"/>
        <w:gridCol w:w="419"/>
        <w:gridCol w:w="1504"/>
      </w:tblGrid>
      <w:tr>
        <w:trPr>
          <w:trHeight w:val="256" w:hRule="atLeast"/>
        </w:trPr>
        <w:tc>
          <w:tcPr>
            <w:tcW w:w="1507"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Species</w:t>
            </w:r>
          </w:p>
        </w:tc>
        <w:tc>
          <w:tcPr>
            <w:tcW w:w="55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10</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11</w:t>
            </w:r>
          </w:p>
        </w:tc>
        <w:tc>
          <w:tcPr>
            <w:tcW w:w="683"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12</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13</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14</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15</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16</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17</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18</w:t>
            </w:r>
          </w:p>
        </w:tc>
        <w:tc>
          <w:tcPr>
            <w:tcW w:w="686"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19</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20</w:t>
            </w:r>
          </w:p>
        </w:tc>
        <w:tc>
          <w:tcPr>
            <w:tcW w:w="683"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21</w:t>
            </w:r>
          </w:p>
        </w:tc>
        <w:tc>
          <w:tcPr>
            <w:tcW w:w="684"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22</w:t>
            </w:r>
          </w:p>
        </w:tc>
        <w:tc>
          <w:tcPr>
            <w:tcW w:w="550"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23</w:t>
            </w:r>
          </w:p>
        </w:tc>
        <w:tc>
          <w:tcPr>
            <w:tcW w:w="686"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24</w:t>
            </w:r>
          </w:p>
        </w:tc>
        <w:tc>
          <w:tcPr>
            <w:tcW w:w="550"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25</w:t>
            </w:r>
          </w:p>
        </w:tc>
        <w:tc>
          <w:tcPr>
            <w:tcW w:w="419"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26</w:t>
            </w:r>
          </w:p>
        </w:tc>
        <w:tc>
          <w:tcPr>
            <w:tcW w:w="419"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29</w:t>
            </w:r>
          </w:p>
        </w:tc>
        <w:tc>
          <w:tcPr>
            <w:tcW w:w="1504" w:type="dxa"/>
            <w:tcBorders>
              <w:bottom w:val="single" w:sz="6" w:space="0" w:color="00599D"/>
            </w:tcBorders>
            <w:shd w:fill="00599D" w:val="clear"/>
            <w:vAlign w:val="bottom"/>
          </w:tcPr>
          <w:p>
            <w:pPr>
              <w:pStyle w:val="Normal"/>
              <w:tabs>
                <w:tab w:val="clear" w:pos="720"/>
              </w:tabs>
              <w:spacing w:before="0" w:after="200"/>
              <w:jc w:val="righ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Total Result</w:t>
            </w:r>
          </w:p>
        </w:tc>
      </w:tr>
      <w:tr>
        <w:trPr>
          <w:trHeight w:val="256" w:hRule="atLeast"/>
        </w:trPr>
        <w:tc>
          <w:tcPr>
            <w:tcW w:w="1507"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Black oak</w:t>
            </w:r>
          </w:p>
        </w:tc>
        <w:tc>
          <w:tcPr>
            <w:tcW w:w="55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1590</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3235</w:t>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6280</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8061</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14860</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12153</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21536</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16449</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29165</w:t>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23369</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30141</w:t>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15960</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15833</w:t>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7354</w:t>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4696</w:t>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654</w:t>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1504" w:type="dxa"/>
            <w:tcBorders>
              <w:right w:val="single" w:sz="6" w:space="0" w:color="00599D"/>
            </w:tcBorders>
            <w:vAlign w:val="bottom"/>
          </w:tcPr>
          <w:p>
            <w:pPr>
              <w:pStyle w:val="Normal"/>
              <w:tabs>
                <w:tab w:val="clear" w:pos="720"/>
              </w:tabs>
              <w:spacing w:before="0" w:after="200"/>
              <w:jc w:val="righ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211335</w:t>
            </w:r>
          </w:p>
        </w:tc>
      </w:tr>
      <w:tr>
        <w:trPr>
          <w:trHeight w:val="256" w:hRule="atLeast"/>
        </w:trPr>
        <w:tc>
          <w:tcPr>
            <w:tcW w:w="1507" w:type="dxa"/>
            <w:tcBorders>
              <w:lef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White oak</w:t>
            </w:r>
          </w:p>
        </w:tc>
        <w:tc>
          <w:tcPr>
            <w:tcW w:w="55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6906</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7296</w:t>
            </w:r>
          </w:p>
        </w:tc>
        <w:tc>
          <w:tcPr>
            <w:tcW w:w="68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11257</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6642</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8222</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3804</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3963</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2413</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2898</w:t>
            </w:r>
          </w:p>
        </w:tc>
        <w:tc>
          <w:tcPr>
            <w:tcW w:w="686"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1351</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8048</w:t>
            </w:r>
          </w:p>
        </w:tc>
        <w:tc>
          <w:tcPr>
            <w:tcW w:w="68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6970</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4232</w:t>
            </w:r>
          </w:p>
        </w:tc>
        <w:tc>
          <w:tcPr>
            <w:tcW w:w="550"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473</w:t>
            </w:r>
          </w:p>
        </w:tc>
        <w:tc>
          <w:tcPr>
            <w:tcW w:w="686"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870</w:t>
            </w:r>
          </w:p>
        </w:tc>
        <w:tc>
          <w:tcPr>
            <w:tcW w:w="550"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1504" w:type="dxa"/>
            <w:tcBorders>
              <w:right w:val="single" w:sz="6" w:space="0" w:color="00599D"/>
            </w:tcBorders>
            <w:shd w:fill="DDDDDD" w:val="clear"/>
            <w:vAlign w:val="bottom"/>
          </w:tcPr>
          <w:p>
            <w:pPr>
              <w:pStyle w:val="Normal"/>
              <w:tabs>
                <w:tab w:val="clear" w:pos="720"/>
              </w:tabs>
              <w:spacing w:before="0" w:after="200"/>
              <w:jc w:val="righ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75346</w:t>
            </w:r>
          </w:p>
        </w:tc>
      </w:tr>
      <w:tr>
        <w:trPr>
          <w:trHeight w:val="256" w:hRule="atLeast"/>
        </w:trPr>
        <w:tc>
          <w:tcPr>
            <w:tcW w:w="1507"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Scarlet oak</w:t>
            </w:r>
          </w:p>
        </w:tc>
        <w:tc>
          <w:tcPr>
            <w:tcW w:w="55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134</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122</w:t>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517</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660</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1188</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1755</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2066</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3127</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3495</w:t>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4299</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4687</w:t>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5619</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7040</w:t>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1084</w:t>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4690</w:t>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2439</w:t>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620</w:t>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909</w:t>
            </w:r>
          </w:p>
        </w:tc>
        <w:tc>
          <w:tcPr>
            <w:tcW w:w="1504" w:type="dxa"/>
            <w:tcBorders>
              <w:right w:val="single" w:sz="6" w:space="0" w:color="00599D"/>
            </w:tcBorders>
            <w:vAlign w:val="bottom"/>
          </w:tcPr>
          <w:p>
            <w:pPr>
              <w:pStyle w:val="Normal"/>
              <w:tabs>
                <w:tab w:val="clear" w:pos="720"/>
              </w:tabs>
              <w:spacing w:before="0" w:after="200"/>
              <w:jc w:val="righ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44450</w:t>
            </w:r>
          </w:p>
        </w:tc>
      </w:tr>
      <w:tr>
        <w:trPr>
          <w:trHeight w:val="256" w:hRule="atLeast"/>
        </w:trPr>
        <w:tc>
          <w:tcPr>
            <w:tcW w:w="1507" w:type="dxa"/>
            <w:tcBorders>
              <w:lef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Hickory</w:t>
            </w:r>
          </w:p>
        </w:tc>
        <w:tc>
          <w:tcPr>
            <w:tcW w:w="55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229</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472</w:t>
            </w:r>
          </w:p>
        </w:tc>
        <w:tc>
          <w:tcPr>
            <w:tcW w:w="68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1453</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1155</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1787</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860</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1490</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609</w:t>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503</w:t>
            </w:r>
          </w:p>
        </w:tc>
        <w:tc>
          <w:tcPr>
            <w:tcW w:w="686"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235</w:t>
            </w:r>
          </w:p>
        </w:tc>
        <w:tc>
          <w:tcPr>
            <w:tcW w:w="68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550"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6"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550"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1504" w:type="dxa"/>
            <w:tcBorders>
              <w:right w:val="single" w:sz="6" w:space="0" w:color="00599D"/>
            </w:tcBorders>
            <w:shd w:fill="DDDDDD" w:val="clear"/>
            <w:vAlign w:val="bottom"/>
          </w:tcPr>
          <w:p>
            <w:pPr>
              <w:pStyle w:val="Normal"/>
              <w:tabs>
                <w:tab w:val="clear" w:pos="720"/>
              </w:tabs>
              <w:spacing w:before="0" w:after="200"/>
              <w:jc w:val="righ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8793</w:t>
            </w:r>
          </w:p>
        </w:tc>
      </w:tr>
      <w:tr>
        <w:trPr>
          <w:trHeight w:val="256" w:hRule="atLeast"/>
        </w:trPr>
        <w:tc>
          <w:tcPr>
            <w:tcW w:w="1507"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Post oak</w:t>
            </w:r>
          </w:p>
        </w:tc>
        <w:tc>
          <w:tcPr>
            <w:tcW w:w="55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109</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107</w:t>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261</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157</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t>177</w:t>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4"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686"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550"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419"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2"/>
                <w:szCs w:val="22"/>
                <w:u w:val="none"/>
              </w:rPr>
            </w:pPr>
            <w:r>
              <w:rPr>
                <w:rFonts w:ascii="Liberation Sans" w:hAnsi="Liberation Sans"/>
                <w:b w:val="false"/>
                <w:bCs w:val="false"/>
                <w:i w:val="false"/>
                <w:iCs w:val="false"/>
                <w:strike w:val="false"/>
                <w:dstrike w:val="false"/>
                <w:outline w:val="false"/>
                <w:shadow w:val="false"/>
                <w:color w:val="000000"/>
                <w:sz w:val="22"/>
                <w:szCs w:val="22"/>
                <w:u w:val="none"/>
              </w:rPr>
            </w:r>
          </w:p>
        </w:tc>
        <w:tc>
          <w:tcPr>
            <w:tcW w:w="1504" w:type="dxa"/>
            <w:tcBorders>
              <w:right w:val="single" w:sz="6" w:space="0" w:color="00599D"/>
            </w:tcBorders>
            <w:vAlign w:val="bottom"/>
          </w:tcPr>
          <w:p>
            <w:pPr>
              <w:pStyle w:val="Normal"/>
              <w:tabs>
                <w:tab w:val="clear" w:pos="720"/>
              </w:tabs>
              <w:spacing w:before="0" w:after="200"/>
              <w:jc w:val="righ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811</w:t>
            </w:r>
          </w:p>
        </w:tc>
      </w:tr>
      <w:tr>
        <w:trPr>
          <w:trHeight w:val="256" w:hRule="atLeast"/>
        </w:trPr>
        <w:tc>
          <w:tcPr>
            <w:tcW w:w="1507" w:type="dxa"/>
            <w:tcBorders>
              <w:top w:val="single" w:sz="6" w:space="0" w:color="00599D"/>
              <w:left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Total Result</w:t>
            </w:r>
          </w:p>
        </w:tc>
        <w:tc>
          <w:tcPr>
            <w:tcW w:w="55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8968</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11231</w:t>
            </w:r>
          </w:p>
        </w:tc>
        <w:tc>
          <w:tcPr>
            <w:tcW w:w="683"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19768</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16675</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26057</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18571</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29232</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22599</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36061</w:t>
            </w:r>
          </w:p>
        </w:tc>
        <w:tc>
          <w:tcPr>
            <w:tcW w:w="686"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29019</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43111</w:t>
            </w:r>
          </w:p>
        </w:tc>
        <w:tc>
          <w:tcPr>
            <w:tcW w:w="683"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28549</w:t>
            </w:r>
          </w:p>
        </w:tc>
        <w:tc>
          <w:tcPr>
            <w:tcW w:w="684"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27105</w:t>
            </w:r>
          </w:p>
        </w:tc>
        <w:tc>
          <w:tcPr>
            <w:tcW w:w="550"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8911</w:t>
            </w:r>
          </w:p>
        </w:tc>
        <w:tc>
          <w:tcPr>
            <w:tcW w:w="686"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10256</w:t>
            </w:r>
          </w:p>
        </w:tc>
        <w:tc>
          <w:tcPr>
            <w:tcW w:w="550"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3093</w:t>
            </w:r>
          </w:p>
        </w:tc>
        <w:tc>
          <w:tcPr>
            <w:tcW w:w="419"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620</w:t>
            </w:r>
          </w:p>
        </w:tc>
        <w:tc>
          <w:tcPr>
            <w:tcW w:w="419"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2"/>
                <w:szCs w:val="22"/>
                <w:u w:val="none"/>
              </w:rPr>
            </w:pPr>
            <w:r>
              <w:rPr>
                <w:rFonts w:ascii="Liberation Sans" w:hAnsi="Liberation Sans"/>
                <w:b/>
                <w:bCs/>
                <w:i w:val="false"/>
                <w:iCs w:val="false"/>
                <w:strike w:val="false"/>
                <w:dstrike w:val="false"/>
                <w:outline w:val="false"/>
                <w:shadow w:val="false"/>
                <w:color w:val="000000"/>
                <w:sz w:val="22"/>
                <w:szCs w:val="22"/>
                <w:u w:val="none"/>
              </w:rPr>
              <w:t>909</w:t>
            </w:r>
          </w:p>
        </w:tc>
        <w:tc>
          <w:tcPr>
            <w:tcW w:w="1504" w:type="dxa"/>
            <w:tcBorders>
              <w:top w:val="single" w:sz="6" w:space="0" w:color="00599D"/>
              <w:bottom w:val="single" w:sz="6" w:space="0" w:color="00599D"/>
              <w:right w:val="single" w:sz="6" w:space="0" w:color="00599D"/>
            </w:tcBorders>
            <w:shd w:fill="ADC5E7" w:val="clear"/>
            <w:vAlign w:val="bottom"/>
          </w:tcPr>
          <w:p>
            <w:pPr>
              <w:pStyle w:val="Normal"/>
              <w:tabs>
                <w:tab w:val="clear" w:pos="720"/>
              </w:tabs>
              <w:spacing w:before="0" w:after="200"/>
              <w:jc w:val="righ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340735</w:t>
            </w:r>
          </w:p>
        </w:tc>
      </w:tr>
    </w:tbl>
    <w:p>
      <w:pPr>
        <w:pStyle w:val="Normal"/>
        <w:rPr/>
      </w:pPr>
      <w:r>
        <w:rPr/>
        <w:t>Estimate of volume by diameter at breast height and species.  Int. ¼ scale</w:t>
      </w:r>
    </w:p>
    <w:p>
      <w:pPr>
        <w:pStyle w:val="Normal"/>
        <w:rPr/>
      </w:pPr>
      <w:r>
        <w:rPr/>
      </w:r>
    </w:p>
    <w:p>
      <w:pPr>
        <w:pStyle w:val="Normal"/>
        <w:rPr/>
      </w:pPr>
      <w:r>
        <w:rPr/>
      </w:r>
    </w:p>
    <w:tbl>
      <w:tblPr>
        <w:tblW w:w="14457" w:type="dxa"/>
        <w:jc w:val="left"/>
        <w:tblInd w:w="-60" w:type="dxa"/>
        <w:tblCellMar>
          <w:top w:w="0" w:type="dxa"/>
          <w:left w:w="0" w:type="dxa"/>
          <w:bottom w:w="0" w:type="dxa"/>
          <w:right w:w="0" w:type="dxa"/>
        </w:tblCellMar>
      </w:tblPr>
      <w:tblGrid>
        <w:gridCol w:w="1799"/>
        <w:gridCol w:w="632"/>
        <w:gridCol w:w="632"/>
        <w:gridCol w:w="632"/>
        <w:gridCol w:w="633"/>
        <w:gridCol w:w="632"/>
        <w:gridCol w:w="631"/>
        <w:gridCol w:w="632"/>
        <w:gridCol w:w="632"/>
        <w:gridCol w:w="632"/>
        <w:gridCol w:w="633"/>
        <w:gridCol w:w="632"/>
        <w:gridCol w:w="632"/>
        <w:gridCol w:w="631"/>
        <w:gridCol w:w="632"/>
        <w:gridCol w:w="632"/>
        <w:gridCol w:w="633"/>
        <w:gridCol w:w="632"/>
        <w:gridCol w:w="632"/>
        <w:gridCol w:w="1277"/>
      </w:tblGrid>
      <w:tr>
        <w:trPr>
          <w:trHeight w:val="256" w:hRule="atLeast"/>
        </w:trPr>
        <w:tc>
          <w:tcPr>
            <w:tcW w:w="1799"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Species</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10</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11</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12</w:t>
            </w:r>
          </w:p>
        </w:tc>
        <w:tc>
          <w:tcPr>
            <w:tcW w:w="633"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13</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14</w:t>
            </w:r>
          </w:p>
        </w:tc>
        <w:tc>
          <w:tcPr>
            <w:tcW w:w="631"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15</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16</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17</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18</w:t>
            </w:r>
          </w:p>
        </w:tc>
        <w:tc>
          <w:tcPr>
            <w:tcW w:w="633"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19</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20</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21</w:t>
            </w:r>
          </w:p>
        </w:tc>
        <w:tc>
          <w:tcPr>
            <w:tcW w:w="631"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22</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23</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24</w:t>
            </w:r>
          </w:p>
        </w:tc>
        <w:tc>
          <w:tcPr>
            <w:tcW w:w="633"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25</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26</w:t>
            </w:r>
          </w:p>
        </w:tc>
        <w:tc>
          <w:tcPr>
            <w:tcW w:w="632"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29</w:t>
            </w:r>
          </w:p>
        </w:tc>
        <w:tc>
          <w:tcPr>
            <w:tcW w:w="1277" w:type="dxa"/>
            <w:tcBorders>
              <w:bottom w:val="single" w:sz="6" w:space="0" w:color="00599D"/>
            </w:tcBorders>
            <w:shd w:fill="00599D"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FFFFFF"/>
                <w:sz w:val="24"/>
                <w:szCs w:val="24"/>
                <w:u w:val="none"/>
              </w:rPr>
            </w:pPr>
            <w:r>
              <w:rPr>
                <w:rFonts w:ascii="Liberation Sans" w:hAnsi="Liberation Sans"/>
                <w:b/>
                <w:bCs/>
                <w:i w:val="false"/>
                <w:iCs w:val="false"/>
                <w:strike w:val="false"/>
                <w:dstrike w:val="false"/>
                <w:outline w:val="false"/>
                <w:shadow w:val="false"/>
                <w:color w:val="FFFFFF"/>
                <w:sz w:val="24"/>
                <w:szCs w:val="24"/>
                <w:u w:val="none"/>
              </w:rPr>
              <w:t>Total Result</w:t>
            </w:r>
          </w:p>
        </w:tc>
      </w:tr>
      <w:tr>
        <w:trPr>
          <w:trHeight w:val="256" w:hRule="atLeast"/>
        </w:trPr>
        <w:tc>
          <w:tcPr>
            <w:tcW w:w="1799"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Black oak</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38</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55</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81</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78</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114</w:t>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79</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116</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74</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113</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78</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88</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40</w:t>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35</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15</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8</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1277" w:type="dxa"/>
            <w:tcBorders>
              <w:righ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1013</w:t>
            </w:r>
          </w:p>
        </w:tc>
      </w:tr>
      <w:tr>
        <w:trPr>
          <w:trHeight w:val="256" w:hRule="atLeast"/>
        </w:trPr>
        <w:tc>
          <w:tcPr>
            <w:tcW w:w="1799" w:type="dxa"/>
            <w:tcBorders>
              <w:lef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White oak</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167</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125</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141</w:t>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65</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65</w:t>
            </w:r>
          </w:p>
        </w:tc>
        <w:tc>
          <w:tcPr>
            <w:tcW w:w="631"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25</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23</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13</w:t>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5</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25</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19</w:t>
            </w:r>
          </w:p>
        </w:tc>
        <w:tc>
          <w:tcPr>
            <w:tcW w:w="631"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1277" w:type="dxa"/>
            <w:tcBorders>
              <w:righ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698</w:t>
            </w:r>
          </w:p>
        </w:tc>
      </w:tr>
      <w:tr>
        <w:trPr>
          <w:trHeight w:val="256" w:hRule="atLeast"/>
        </w:trPr>
        <w:tc>
          <w:tcPr>
            <w:tcW w:w="1799"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Scarlet oak</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3</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6</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9</w:t>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11</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14</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13</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14</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13</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14</w:t>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15</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8</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4</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1277" w:type="dxa"/>
            <w:tcBorders>
              <w:righ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148</w:t>
            </w:r>
          </w:p>
        </w:tc>
      </w:tr>
      <w:tr>
        <w:trPr>
          <w:trHeight w:val="256" w:hRule="atLeast"/>
        </w:trPr>
        <w:tc>
          <w:tcPr>
            <w:tcW w:w="1799" w:type="dxa"/>
            <w:tcBorders>
              <w:lef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Hickory</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7</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8</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21</w:t>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12</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15</w:t>
            </w:r>
          </w:p>
        </w:tc>
        <w:tc>
          <w:tcPr>
            <w:tcW w:w="631"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6</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9</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3</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1"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3"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1277" w:type="dxa"/>
            <w:tcBorders>
              <w:right w:val="single" w:sz="6" w:space="0" w:color="00599D"/>
            </w:tcBorders>
            <w:shd w:fill="DDDDDD" w:val="clear"/>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84</w:t>
            </w:r>
          </w:p>
        </w:tc>
      </w:tr>
      <w:tr>
        <w:trPr>
          <w:trHeight w:val="256" w:hRule="atLeast"/>
        </w:trPr>
        <w:tc>
          <w:tcPr>
            <w:tcW w:w="1799" w:type="dxa"/>
            <w:tcBorders>
              <w:lef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Post oak</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3</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4</w:t>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2</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t>1</w:t>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1"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3"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632" w:type="dxa"/>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val="false"/>
                <w:bCs w:val="false"/>
                <w:i w:val="false"/>
                <w:iCs w:val="false"/>
                <w:strike w:val="false"/>
                <w:dstrike w:val="false"/>
                <w:outline w:val="false"/>
                <w:shadow w:val="false"/>
                <w:color w:val="000000"/>
                <w:sz w:val="24"/>
                <w:szCs w:val="24"/>
                <w:u w:val="none"/>
              </w:rPr>
            </w:r>
          </w:p>
        </w:tc>
        <w:tc>
          <w:tcPr>
            <w:tcW w:w="1277" w:type="dxa"/>
            <w:tcBorders>
              <w:right w:val="single" w:sz="6" w:space="0" w:color="00599D"/>
            </w:tcBorders>
            <w:vAlign w:val="bottom"/>
          </w:tcPr>
          <w:p>
            <w:pPr>
              <w:pStyle w:val="Normal"/>
              <w:tabs>
                <w:tab w:val="clear" w:pos="720"/>
              </w:tabs>
              <w:spacing w:before="0" w:after="200"/>
              <w:jc w:val="left"/>
              <w:rPr>
                <w:rFonts w:ascii="Liberation Sans" w:hAnsi="Liberation Sans"/>
                <w:b w:val="false"/>
                <w:b w:val="false"/>
                <w:bCs w:val="false"/>
                <w:i w:val="false"/>
                <w:i w:val="false"/>
                <w:iCs w:val="false"/>
                <w:strike w:val="false"/>
                <w:dstrike w:val="false"/>
                <w:outline w:val="false"/>
                <w:shadow w:val="false"/>
                <w:color w:val="000000"/>
                <w:sz w:val="24"/>
                <w:szCs w:val="24"/>
                <w:u w:val="none"/>
              </w:rPr>
            </w:pPr>
            <w:r>
              <w:rPr>
                <w:rFonts w:ascii="Liberation Sans" w:hAnsi="Liberation Sans"/>
                <w:b/>
                <w:bCs w:val="false"/>
                <w:i w:val="false"/>
                <w:iCs w:val="false"/>
                <w:strike w:val="false"/>
                <w:dstrike w:val="false"/>
                <w:outline w:val="false"/>
                <w:shadow w:val="false"/>
                <w:color w:val="000000"/>
                <w:sz w:val="24"/>
                <w:szCs w:val="24"/>
                <w:u w:val="none"/>
              </w:rPr>
              <w:t>12</w:t>
            </w:r>
          </w:p>
        </w:tc>
      </w:tr>
      <w:tr>
        <w:trPr>
          <w:trHeight w:val="256" w:hRule="atLeast"/>
        </w:trPr>
        <w:tc>
          <w:tcPr>
            <w:tcW w:w="1799" w:type="dxa"/>
            <w:tcBorders>
              <w:top w:val="single" w:sz="6" w:space="0" w:color="00599D"/>
              <w:left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Total Result</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218</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192</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254</w:t>
            </w:r>
          </w:p>
        </w:tc>
        <w:tc>
          <w:tcPr>
            <w:tcW w:w="633"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163</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203</w:t>
            </w:r>
          </w:p>
        </w:tc>
        <w:tc>
          <w:tcPr>
            <w:tcW w:w="631"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121</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160</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102</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141</w:t>
            </w:r>
          </w:p>
        </w:tc>
        <w:tc>
          <w:tcPr>
            <w:tcW w:w="633"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97</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127</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73</w:t>
            </w:r>
          </w:p>
        </w:tc>
        <w:tc>
          <w:tcPr>
            <w:tcW w:w="631"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61</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18</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18</w:t>
            </w:r>
          </w:p>
        </w:tc>
        <w:tc>
          <w:tcPr>
            <w:tcW w:w="633"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5</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w:t>
            </w:r>
          </w:p>
        </w:tc>
        <w:tc>
          <w:tcPr>
            <w:tcW w:w="632" w:type="dxa"/>
            <w:tcBorders>
              <w:top w:val="single" w:sz="6" w:space="0" w:color="00599D"/>
              <w:bottom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w:t>
            </w:r>
          </w:p>
        </w:tc>
        <w:tc>
          <w:tcPr>
            <w:tcW w:w="1277" w:type="dxa"/>
            <w:tcBorders>
              <w:top w:val="single" w:sz="6" w:space="0" w:color="00599D"/>
              <w:bottom w:val="single" w:sz="6" w:space="0" w:color="00599D"/>
              <w:right w:val="single" w:sz="6" w:space="0" w:color="00599D"/>
            </w:tcBorders>
            <w:shd w:fill="ADC5E7" w:val="clear"/>
            <w:vAlign w:val="bottom"/>
          </w:tcPr>
          <w:p>
            <w:pPr>
              <w:pStyle w:val="Normal"/>
              <w:tabs>
                <w:tab w:val="clear" w:pos="720"/>
              </w:tabs>
              <w:spacing w:before="0" w:after="200"/>
              <w:jc w:val="left"/>
              <w:rPr>
                <w:rFonts w:ascii="Liberation Sans" w:hAnsi="Liberation Sans"/>
                <w:b/>
                <w:b/>
                <w:bCs/>
                <w:i w:val="false"/>
                <w:i w:val="false"/>
                <w:iCs w:val="false"/>
                <w:strike w:val="false"/>
                <w:dstrike w:val="false"/>
                <w:outline w:val="false"/>
                <w:shadow w:val="false"/>
                <w:color w:val="000000"/>
                <w:sz w:val="24"/>
                <w:szCs w:val="24"/>
                <w:u w:val="none"/>
              </w:rPr>
            </w:pPr>
            <w:r>
              <w:rPr>
                <w:rFonts w:ascii="Liberation Sans" w:hAnsi="Liberation Sans"/>
                <w:b/>
                <w:bCs/>
                <w:i w:val="false"/>
                <w:iCs w:val="false"/>
                <w:strike w:val="false"/>
                <w:dstrike w:val="false"/>
                <w:outline w:val="false"/>
                <w:shadow w:val="false"/>
                <w:color w:val="000000"/>
                <w:sz w:val="24"/>
                <w:szCs w:val="24"/>
                <w:u w:val="none"/>
              </w:rPr>
              <w:t>1955</w:t>
            </w:r>
          </w:p>
        </w:tc>
      </w:tr>
    </w:tbl>
    <w:p>
      <w:pPr>
        <w:sectPr>
          <w:type w:val="nextPage"/>
          <w:pgSz w:orient="landscape" w:w="15840" w:h="12240"/>
          <w:pgMar w:left="720" w:right="720" w:header="0" w:top="720" w:footer="0" w:bottom="720" w:gutter="0"/>
          <w:pgNumType w:fmt="decimal"/>
          <w:formProt w:val="false"/>
          <w:textDirection w:val="lrTb"/>
          <w:docGrid w:type="default" w:linePitch="360" w:charSpace="4096"/>
        </w:sectPr>
        <w:pStyle w:val="Normal"/>
        <w:rPr/>
      </w:pPr>
      <w:r>
        <w:rPr/>
        <w:t xml:space="preserve">                 </w:t>
      </w:r>
      <w:r>
        <w:rPr/>
        <w:t>Count of trees by diameter at breast height and species.</w:t>
      </w:r>
    </w:p>
    <w:p>
      <w:pPr>
        <w:pStyle w:val="Normal"/>
        <w:rPr>
          <w:b/>
          <w:b/>
        </w:rPr>
      </w:pPr>
      <w:r>
        <w:rPr>
          <w:b/>
        </w:rPr>
        <mc:AlternateContent>
          <mc:Choice Requires="wps">
            <w:drawing>
              <wp:anchor behindDoc="0" distT="0" distB="0" distL="0" distR="0" simplePos="0" locked="0" layoutInCell="1" allowOverlap="1" relativeHeight="4">
                <wp:simplePos x="0" y="0"/>
                <wp:positionH relativeFrom="column">
                  <wp:posOffset>1318260</wp:posOffset>
                </wp:positionH>
                <wp:positionV relativeFrom="paragraph">
                  <wp:posOffset>147320</wp:posOffset>
                </wp:positionV>
                <wp:extent cx="4869815" cy="404495"/>
                <wp:effectExtent l="0" t="0" r="0" b="0"/>
                <wp:wrapNone/>
                <wp:docPr id="1" name="Shape1"/>
                <a:graphic xmlns:a="http://schemas.openxmlformats.org/drawingml/2006/main">
                  <a:graphicData uri="http://schemas.microsoft.com/office/word/2010/wordprocessingShape">
                    <wps:wsp>
                      <wps:cNvSpPr txBox="1"/>
                      <wps:spPr>
                        <a:xfrm>
                          <a:off x="0" y="0"/>
                          <a:ext cx="4869360" cy="403920"/>
                        </a:xfrm>
                        <a:prstGeom prst="rect">
                          <a:avLst/>
                        </a:prstGeom>
                        <a:noFill/>
                        <a:ln>
                          <a:noFill/>
                        </a:ln>
                      </wps:spPr>
                      <wps:txbx>
                        <w:txbxContent>
                          <w:p>
                            <w:pPr>
                              <w:overflowPunct w:val="false"/>
                              <w:spacing w:before="0" w:after="0" w:lineRule="auto" w:line="240"/>
                              <w:rPr/>
                            </w:pPr>
                            <w:r>
                              <w:rPr>
                                <w:sz w:val="52"/>
                                <w:szCs w:val="52"/>
                                <w:rFonts w:asciiTheme="minorHAnsi" w:cstheme="minorBidi" w:eastAsiaTheme="minorHAnsi" w:hAnsiTheme="minorHAnsi"/>
                              </w:rPr>
                              <w:t>Shannondale 2023 Sale Map</w:t>
                            </w:r>
                          </w:p>
                        </w:txbxContent>
                      </wps:txbx>
                      <wps:bodyPr wrap="square" lIns="0" rIns="0" tIns="0" bIns="0">
                        <a:spAutoFit/>
                      </wps:bodyPr>
                    </wps:wsp>
                  </a:graphicData>
                </a:graphic>
              </wp:anchor>
            </w:drawing>
          </mc:Choice>
          <mc:Fallback>
            <w:pict>
              <v:shapetype id="_x0000_t202" coordsize="21600,21600" o:spt="202" path="m,l,21600l21600,21600l21600,xe">
                <v:stroke joinstyle="miter"/>
                <v:path gradientshapeok="t" o:connecttype="rect"/>
              </v:shapetype>
              <v:shape id="shape_0" ID="Shape1" stroked="f" style="position:absolute;margin-left:103.8pt;margin-top:11.6pt;width:383.35pt;height:31.75pt" type="shapetype_202">
                <v:textbox>
                  <w:txbxContent>
                    <w:p>
                      <w:pPr>
                        <w:overflowPunct w:val="false"/>
                        <w:spacing w:before="0" w:after="0" w:lineRule="auto" w:line="240"/>
                        <w:rPr/>
                      </w:pPr>
                      <w:r>
                        <w:rPr>
                          <w:sz w:val="52"/>
                          <w:szCs w:val="52"/>
                          <w:rFonts w:asciiTheme="minorHAnsi" w:cstheme="minorBidi" w:eastAsiaTheme="minorHAnsi" w:hAnsiTheme="minorHAnsi"/>
                        </w:rPr>
                        <w:t>Shannondale 2023 Sale Map</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5">
                <wp:simplePos x="0" y="0"/>
                <wp:positionH relativeFrom="column">
                  <wp:posOffset>3200400</wp:posOffset>
                </wp:positionH>
                <wp:positionV relativeFrom="paragraph">
                  <wp:posOffset>711200</wp:posOffset>
                </wp:positionV>
                <wp:extent cx="823595" cy="342900"/>
                <wp:effectExtent l="0" t="0" r="0" b="0"/>
                <wp:wrapNone/>
                <wp:docPr id="2" name="Shape2"/>
                <a:graphic xmlns:a="http://schemas.openxmlformats.org/drawingml/2006/main">
                  <a:graphicData uri="http://schemas.microsoft.com/office/word/2010/wordprocessingShape">
                    <wps:wsp>
                      <wps:cNvSpPr txBox="1"/>
                      <wps:spPr>
                        <a:xfrm>
                          <a:off x="0" y="0"/>
                          <a:ext cx="822960" cy="342360"/>
                        </a:xfrm>
                        <a:prstGeom prst="rect">
                          <a:avLst/>
                        </a:prstGeom>
                        <a:solidFill>
                          <a:srgbClr val="ffffff"/>
                        </a:solidFill>
                        <a:ln>
                          <a:noFill/>
                        </a:ln>
                      </wps:spPr>
                      <wps:txbx>
                        <w:txbxContent>
                          <w:p>
                            <w:pPr>
                              <w:overflowPunct w:val="false"/>
                              <w:spacing w:before="0" w:after="0" w:lineRule="auto" w:line="240"/>
                              <w:rPr/>
                            </w:pPr>
                            <w:r>
                              <w:rPr>
                                <w:rFonts w:asciiTheme="minorHAnsi" w:cstheme="minorBidi" w:eastAsiaTheme="minorHAnsi" w:hAnsiTheme="minorHAnsi"/>
                              </w:rPr>
                              <w:t>Timber Lodge</w:t>
                            </w:r>
                          </w:p>
                          <w:p>
                            <w:pPr>
                              <w:overflowPunct w:val="false"/>
                              <w:spacing w:before="0" w:after="0" w:lineRule="auto" w:line="240"/>
                              <w:rPr/>
                            </w:pPr>
                            <w:r>
                              <w:rPr>
                                <w:rFonts w:asciiTheme="minorHAnsi" w:cstheme="minorBidi" w:eastAsiaTheme="minorHAnsi" w:hAnsiTheme="minorHAnsi"/>
                              </w:rPr>
                            </w:r>
                          </w:p>
                        </w:txbxContent>
                      </wps:txbx>
                      <wps:bodyPr wrap="square" lIns="0" rIns="0" tIns="0" bIns="0">
                        <a:spAutoFit/>
                      </wps:bodyPr>
                    </wps:wsp>
                  </a:graphicData>
                </a:graphic>
              </wp:anchor>
            </w:drawing>
          </mc:Choice>
          <mc:Fallback>
            <w:pict>
              <v:shape id="shape_0" ID="Shape2" fillcolor="white" stroked="f" style="position:absolute;margin-left:252pt;margin-top:56pt;width:64.75pt;height:26.9pt" type="shapetype_202">
                <v:textbox>
                  <w:txbxContent>
                    <w:p>
                      <w:pPr>
                        <w:overflowPunct w:val="false"/>
                        <w:spacing w:before="0" w:after="0" w:lineRule="auto" w:line="240"/>
                        <w:rPr/>
                      </w:pPr>
                      <w:r>
                        <w:rPr>
                          <w:rFonts w:asciiTheme="minorHAnsi" w:cstheme="minorBidi" w:eastAsiaTheme="minorHAnsi" w:hAnsiTheme="minorHAnsi"/>
                        </w:rPr>
                        <w:t>Timber Lodge</w:t>
                      </w:r>
                    </w:p>
                    <w:p>
                      <w:pPr>
                        <w:overflowPunct w:val="false"/>
                        <w:spacing w:before="0" w:after="0" w:lineRule="auto" w:line="240"/>
                        <w:rPr/>
                      </w:pPr>
                      <w:r>
                        <w:rPr>
                          <w:rFonts w:asciiTheme="minorHAnsi" w:cstheme="minorBidi" w:eastAsiaTheme="minorHAnsi" w:hAnsiTheme="minorHAnsi"/>
                        </w:rPr>
                      </w:r>
                    </w:p>
                  </w:txbxContent>
                </v:textbox>
                <w10:wrap type="square"/>
                <v:fill o:detectmouseclick="t" type="solid" color2="black"/>
                <v:stroke color="black" joinstyle="round" endcap="flat"/>
              </v:shape>
            </w:pict>
          </mc:Fallback>
        </mc:AlternateContent>
        <w:drawing>
          <wp:anchor behindDoc="0" distT="0" distB="0" distL="0" distR="0" simplePos="0" locked="0" layoutInCell="1" allowOverlap="1" relativeHeight="2">
            <wp:simplePos x="0" y="0"/>
            <wp:positionH relativeFrom="column">
              <wp:posOffset>121920</wp:posOffset>
            </wp:positionH>
            <wp:positionV relativeFrom="paragraph">
              <wp:posOffset>-50800</wp:posOffset>
            </wp:positionV>
            <wp:extent cx="6706235" cy="5898515"/>
            <wp:effectExtent l="0" t="0" r="0" b="0"/>
            <wp:wrapSquare wrapText="largest"/>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2"/>
                    <a:stretch>
                      <a:fillRect/>
                    </a:stretch>
                  </pic:blipFill>
                  <pic:spPr bwMode="auto">
                    <a:xfrm>
                      <a:off x="0" y="0"/>
                      <a:ext cx="6706235" cy="5898515"/>
                    </a:xfrm>
                    <a:prstGeom prst="rect">
                      <a:avLst/>
                    </a:prstGeom>
                  </pic:spPr>
                </pic:pic>
              </a:graphicData>
            </a:graphic>
          </wp:anchor>
        </w:drawing>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r>
    </w:p>
    <w:p>
      <w:pPr>
        <w:pStyle w:val="Normal"/>
        <w:jc w:val="center"/>
        <w:rPr>
          <w:sz w:val="32"/>
          <w:szCs w:val="32"/>
        </w:rPr>
      </w:pPr>
      <w:r>
        <w:rPr>
          <w:sz w:val="32"/>
          <w:szCs w:val="32"/>
        </w:rPr>
        <w:t>Shannondale Community Center Timber Sale Bid</w:t>
      </w:r>
    </w:p>
    <w:p>
      <w:pPr>
        <w:pStyle w:val="Normal"/>
        <w:rPr>
          <w:b/>
          <w:b/>
        </w:rPr>
      </w:pPr>
      <w:r>
        <w:rPr>
          <w:b/>
        </w:rPr>
      </w:r>
    </w:p>
    <w:p>
      <w:pPr>
        <w:pStyle w:val="Normal"/>
        <w:rPr>
          <w:sz w:val="28"/>
          <w:szCs w:val="28"/>
        </w:rPr>
      </w:pPr>
      <w:r>
        <w:rPr>
          <w:sz w:val="28"/>
          <w:szCs w:val="28"/>
        </w:rPr>
        <w:t>Name of Bidder: ______________________________________</w:t>
      </w:r>
    </w:p>
    <w:p>
      <w:pPr>
        <w:pStyle w:val="Normal"/>
        <w:rPr>
          <w:sz w:val="28"/>
          <w:szCs w:val="28"/>
        </w:rPr>
      </w:pPr>
      <w:r>
        <w:rPr>
          <w:sz w:val="28"/>
          <w:szCs w:val="28"/>
        </w:rPr>
      </w:r>
    </w:p>
    <w:p>
      <w:pPr>
        <w:pStyle w:val="Normal"/>
        <w:rPr>
          <w:sz w:val="28"/>
          <w:szCs w:val="28"/>
        </w:rPr>
      </w:pPr>
      <w:r>
        <w:rPr>
          <w:sz w:val="28"/>
          <w:szCs w:val="28"/>
        </w:rPr>
        <w:t>Address of Bidder: _____________________________________</w:t>
      </w:r>
    </w:p>
    <w:p>
      <w:pPr>
        <w:pStyle w:val="Normal"/>
        <w:rPr>
          <w:sz w:val="28"/>
          <w:szCs w:val="28"/>
        </w:rPr>
      </w:pPr>
      <w:r>
        <w:rPr>
          <w:sz w:val="28"/>
          <w:szCs w:val="28"/>
        </w:rPr>
        <w:t xml:space="preserve">                                </w:t>
      </w:r>
      <w:r>
        <w:rPr>
          <w:sz w:val="28"/>
          <w:szCs w:val="28"/>
        </w:rPr>
        <w:t>_____________________________________</w:t>
      </w:r>
    </w:p>
    <w:p>
      <w:pPr>
        <w:pStyle w:val="Normal"/>
        <w:rPr>
          <w:sz w:val="28"/>
          <w:szCs w:val="28"/>
        </w:rPr>
      </w:pPr>
      <w:r>
        <w:rPr>
          <w:sz w:val="28"/>
          <w:szCs w:val="28"/>
        </w:rPr>
        <w:t xml:space="preserve">                                </w:t>
      </w:r>
      <w:r>
        <w:rPr>
          <w:sz w:val="28"/>
          <w:szCs w:val="28"/>
        </w:rPr>
        <w:t>______________________________________</w:t>
      </w:r>
    </w:p>
    <w:p>
      <w:pPr>
        <w:pStyle w:val="Normal"/>
        <w:rPr>
          <w:sz w:val="28"/>
          <w:szCs w:val="28"/>
        </w:rPr>
      </w:pPr>
      <w:r>
        <w:rPr>
          <w:sz w:val="28"/>
          <w:szCs w:val="28"/>
        </w:rPr>
      </w:r>
    </w:p>
    <w:p>
      <w:pPr>
        <w:pStyle w:val="Normal"/>
        <w:rPr>
          <w:sz w:val="28"/>
          <w:szCs w:val="28"/>
        </w:rPr>
      </w:pPr>
      <w:r>
        <w:rPr>
          <w:sz w:val="28"/>
          <w:szCs w:val="28"/>
        </w:rPr>
        <w:t>Telephone:  ______________________________</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Total Amount of Bid:  _________________________________________________ </w:t>
      </w:r>
    </w:p>
    <w:p>
      <w:pPr>
        <w:pStyle w:val="Normal"/>
        <w:rPr>
          <w:sz w:val="28"/>
          <w:szCs w:val="28"/>
        </w:rPr>
      </w:pPr>
      <w:r>
        <w:rPr>
          <w:sz w:val="28"/>
          <w:szCs w:val="28"/>
        </w:rPr>
        <w:tab/>
        <w:tab/>
        <w:tab/>
        <w:tab/>
        <w:tab/>
        <w:t>($ _______. ___)</w:t>
      </w:r>
    </w:p>
    <w:p>
      <w:pPr>
        <w:pStyle w:val="Normal"/>
        <w:rPr>
          <w:sz w:val="28"/>
          <w:szCs w:val="28"/>
        </w:rPr>
      </w:pPr>
      <w:r>
        <w:rPr>
          <w:sz w:val="28"/>
          <w:szCs w:val="28"/>
        </w:rPr>
        <w:t xml:space="preserve">                                            </w:t>
      </w:r>
      <w:r>
        <w:rPr>
          <w:sz w:val="28"/>
          <w:szCs w:val="28"/>
        </w:rPr>
        <w:t>(Lump Sum Bids Only)</w:t>
      </w:r>
    </w:p>
    <w:p>
      <w:pPr>
        <w:pStyle w:val="Normal"/>
        <w:rPr>
          <w:sz w:val="28"/>
          <w:szCs w:val="28"/>
        </w:rPr>
      </w:pPr>
      <w:r>
        <w:rPr>
          <w:sz w:val="28"/>
          <w:szCs w:val="28"/>
        </w:rPr>
      </w:r>
    </w:p>
    <w:p>
      <w:pPr>
        <w:pStyle w:val="Normal"/>
        <w:rPr>
          <w:sz w:val="28"/>
          <w:szCs w:val="28"/>
        </w:rPr>
      </w:pPr>
      <w:r>
        <w:rPr>
          <w:sz w:val="28"/>
          <w:szCs w:val="28"/>
        </w:rPr>
      </w:r>
    </w:p>
    <w:p>
      <w:pPr>
        <w:pStyle w:val="Normal"/>
        <w:jc w:val="center"/>
        <w:rPr>
          <w:sz w:val="28"/>
          <w:szCs w:val="28"/>
        </w:rPr>
      </w:pPr>
      <w:r>
        <w:rPr>
          <w:sz w:val="28"/>
          <w:szCs w:val="28"/>
        </w:rPr>
      </w:r>
    </w:p>
    <w:p>
      <w:pPr>
        <w:pStyle w:val="Normal"/>
        <w:rPr>
          <w:sz w:val="28"/>
          <w:szCs w:val="28"/>
        </w:rPr>
      </w:pPr>
      <w:r>
        <w:rPr>
          <w:sz w:val="28"/>
          <w:szCs w:val="28"/>
        </w:rPr>
        <w:t>Signature: ___________________________   Date: ___________________</w:t>
      </w:r>
    </w:p>
    <w:p>
      <w:pPr>
        <w:pStyle w:val="Normal"/>
        <w:rPr>
          <w:b/>
          <w:b/>
        </w:rPr>
      </w:pPr>
      <w:r>
        <w:rPr>
          <w:b/>
        </w:rPr>
      </w:r>
    </w:p>
    <w:p>
      <w:pPr>
        <w:pStyle w:val="Normal"/>
        <w:rPr>
          <w:b/>
          <w:b/>
        </w:rPr>
      </w:pPr>
      <w:r>
        <w:rPr>
          <w:b/>
        </w:rPr>
      </w:r>
    </w:p>
    <w:p>
      <w:pPr>
        <w:pStyle w:val="Normal"/>
        <w:spacing w:before="0" w:after="200"/>
        <w:rPr>
          <w:b/>
          <w:b/>
        </w:rPr>
      </w:pPr>
      <w:r>
        <w:rPr/>
      </w:r>
    </w:p>
    <w:sectPr>
      <w:type w:val="nextPage"/>
      <w:pgSz w:w="12240" w:h="15840"/>
      <w:pgMar w:left="720" w:right="720" w:header="0" w:top="720" w:footer="0" w:bottom="720"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s>
</file>

<file path=word/settings.xml><?xml version="1.0" encoding="utf-8"?>
<w:settings xmlns:w="http://schemas.openxmlformats.org/wordprocessingml/2006/main">
  <w:zoom w:percent="100"/>
  <w:defaultTabStop w:val="720"/>
  <w:autoHyphenation w:val="tru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a3215d"/>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c20c1d"/>
    <w:rPr>
      <w:rFonts w:ascii="Tahoma" w:hAnsi="Tahoma" w:cs="Tahoma"/>
      <w:sz w:val="16"/>
      <w:szCs w:val="16"/>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BalloonText">
    <w:name w:val="Balloon Text"/>
    <w:basedOn w:val="Normal"/>
    <w:link w:val="BalloonTextChar"/>
    <w:uiPriority w:val="99"/>
    <w:semiHidden/>
    <w:unhideWhenUsed/>
    <w:qFormat/>
    <w:rsid w:val="00c20c1d"/>
    <w:pPr>
      <w:spacing w:lineRule="auto" w:line="240" w:before="0" w:after="0"/>
    </w:pPr>
    <w:rPr>
      <w:rFonts w:ascii="Tahoma" w:hAnsi="Tahoma" w:cs="Tahoma"/>
      <w:sz w:val="16"/>
      <w:szCs w:val="16"/>
    </w:rPr>
  </w:style>
  <w:style w:type="paragraph" w:styleId="FrameContents">
    <w:name w:val="Frame Contents"/>
    <w:basedOn w:val="Normal"/>
    <w:qFormat/>
    <w:pPr/>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numbering" w:styleId="NoList" w:default="1">
    <w:name w:val="No List"/>
    <w:uiPriority w:val="99"/>
    <w:semiHidden/>
    <w:unhideWhenUsed/>
    <w:qFormat/>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table" w:styleId="LightGrid-Accent3">
    <w:name w:val="Light Grid Accent 3"/>
    <w:basedOn w:val="TableNormal"/>
    <w:uiPriority w:val="62"/>
    <w:rsid w:val="003561a1"/>
    <w:pPr>
      <w:spacing w:after="0" w:line="240" w:lineRule="auto"/>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color="9BBB59"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color="9BBB59" w:themeColor="accent3"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color="9BBB59" w:themeColor="accent3"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color="9BBB59" w:themeColor="accent3" w:sz="8" w:space="0"/>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Relationship Id="rId6"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8A0F21-A9D9-4861-996D-B8572C526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Application>LibreOffice/6.4.3.2$Windows_X86_64 LibreOffice_project/747b5d0ebf89f41c860ec2a39efd7cb15b54f2d8</Application>
  <Pages>5</Pages>
  <Words>645</Words>
  <Characters>2904</Characters>
  <CharactersWithSpaces>3437</CharactersWithSpaces>
  <Paragraphs>268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2019-08-15T13:08:00Z</dcterms:created>
  <dc:creator>Jason Deschu</dc:creator>
  <dc:description/>
  <dc:language>en-US</dc:language>
  <cp:lastModifiedBy/>
  <cp:lastPrinted>2022-09-03T08:25:06Z</cp:lastPrinted>
  <dcterms:modified xsi:type="dcterms:W3CDTF">2023-08-29T08:25:09Z</dcterms:modified>
  <cp:revision>20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